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C9" w:rsidRPr="003072C9" w:rsidRDefault="003072C9" w:rsidP="003072C9">
      <w:pPr>
        <w:shd w:val="clear" w:color="auto" w:fill="FFFFFF"/>
        <w:spacing w:before="240" w:after="60" w:line="600" w:lineRule="atLeast"/>
        <w:jc w:val="center"/>
        <w:outlineLvl w:val="2"/>
        <w:rPr>
          <w:rFonts w:ascii="Times New Roman" w:eastAsia="Times New Roman" w:hAnsi="Times New Roman" w:cs="Times New Roman"/>
          <w:b/>
          <w:bCs/>
          <w:color w:val="333333"/>
          <w:sz w:val="36"/>
          <w:szCs w:val="36"/>
          <w:lang w:val="en-US" w:eastAsia="ru-RU"/>
        </w:rPr>
      </w:pPr>
      <w:r w:rsidRPr="003072C9">
        <w:rPr>
          <w:rFonts w:ascii="Times New Roman" w:eastAsia="Times New Roman" w:hAnsi="Times New Roman" w:cs="Times New Roman"/>
          <w:b/>
          <w:bCs/>
          <w:color w:val="333333"/>
          <w:sz w:val="36"/>
          <w:szCs w:val="36"/>
          <w:lang w:val="en-US" w:eastAsia="ru-RU"/>
        </w:rPr>
        <w:t>Weak Forms</w:t>
      </w:r>
    </w:p>
    <w:p w:rsidR="003072C9" w:rsidRPr="003072C9" w:rsidRDefault="003072C9" w:rsidP="003072C9">
      <w:pPr>
        <w:shd w:val="clear" w:color="auto" w:fill="FFFFFF"/>
        <w:spacing w:after="120" w:line="240" w:lineRule="auto"/>
        <w:jc w:val="both"/>
        <w:rPr>
          <w:rFonts w:ascii="Arial" w:eastAsia="Times New Roman" w:hAnsi="Arial" w:cs="Arial"/>
          <w:color w:val="333333"/>
          <w:lang w:val="en-US" w:eastAsia="ru-RU"/>
        </w:rPr>
      </w:pPr>
      <w:r w:rsidRPr="003072C9">
        <w:rPr>
          <w:rFonts w:ascii="Arial" w:eastAsia="Times New Roman" w:hAnsi="Arial" w:cs="Arial"/>
          <w:i/>
          <w:iCs/>
          <w:color w:val="333333"/>
          <w:sz w:val="28"/>
          <w:szCs w:val="28"/>
          <w:lang w:val="en-US" w:eastAsia="ru-RU"/>
        </w:rPr>
        <w:t>Each of the following examples contains one or more of the words which often have weak forms. Transcribe the examples phonetically, showing the stressed syllables and the weak (or strong!) forms of those words:</w:t>
      </w:r>
    </w:p>
    <w:tbl>
      <w:tblPr>
        <w:tblW w:w="0" w:type="auto"/>
        <w:tblInd w:w="920" w:type="dxa"/>
        <w:shd w:val="clear" w:color="auto" w:fill="FFFFFF"/>
        <w:tblCellMar>
          <w:left w:w="0" w:type="dxa"/>
          <w:right w:w="0" w:type="dxa"/>
        </w:tblCellMar>
        <w:tblLook w:val="04A0" w:firstRow="1" w:lastRow="0" w:firstColumn="1" w:lastColumn="0" w:noHBand="0" w:noVBand="1"/>
      </w:tblPr>
      <w:tblGrid>
        <w:gridCol w:w="4123"/>
        <w:gridCol w:w="4452"/>
      </w:tblGrid>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They came to the door.</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There were two of them.</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What are you surprised at?</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She is as old as the hills.</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She has an uncle and a cousin.</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I shall be angry.</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Who will meet him at the airport?</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I will.</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What is her phone number?</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What does that matter?</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I would like some tea.</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Well, make some.</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What has John come for?</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For his saw that you borrowed.</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What can I do?</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More than I can.</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He was pleased, wasn't he?</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Of course he was.</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When am I going to get it?</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eastAsia="ru-RU"/>
              </w:rPr>
              <w:t>I am not sure.</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I have taken it from the shelf.</w:t>
            </w:r>
          </w:p>
        </w:tc>
        <w:tc>
          <w:tcPr>
            <w:tcW w:w="4747"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Yes, I thought you had.</w:t>
            </w:r>
          </w:p>
        </w:tc>
      </w:tr>
      <w:tr w:rsidR="003072C9" w:rsidRPr="003072C9" w:rsidTr="003072C9">
        <w:tc>
          <w:tcPr>
            <w:tcW w:w="4395" w:type="dxa"/>
            <w:tcBorders>
              <w:top w:val="nil"/>
              <w:left w:val="nil"/>
              <w:bottom w:val="nil"/>
              <w:right w:val="nil"/>
            </w:tcBorders>
            <w:shd w:val="clear" w:color="auto" w:fill="auto"/>
            <w:tcMar>
              <w:top w:w="0" w:type="dxa"/>
              <w:left w:w="70" w:type="dxa"/>
              <w:bottom w:w="0" w:type="dxa"/>
              <w:right w:w="70" w:type="dxa"/>
            </w:tcMar>
            <w:hideMark/>
          </w:tcPr>
          <w:p w:rsidR="003072C9" w:rsidRPr="003072C9" w:rsidRDefault="003072C9" w:rsidP="003072C9">
            <w:pPr>
              <w:spacing w:after="0" w:line="240" w:lineRule="auto"/>
              <w:jc w:val="both"/>
              <w:rPr>
                <w:rFonts w:ascii="Arial" w:eastAsia="Times New Roman" w:hAnsi="Arial" w:cs="Arial"/>
                <w:color w:val="333333"/>
                <w:lang w:eastAsia="ru-RU"/>
              </w:rPr>
            </w:pPr>
            <w:r w:rsidRPr="003072C9">
              <w:rPr>
                <w:rFonts w:ascii="Arial" w:eastAsia="Times New Roman" w:hAnsi="Arial" w:cs="Arial"/>
                <w:color w:val="333333"/>
                <w:sz w:val="28"/>
                <w:szCs w:val="28"/>
                <w:lang w:val="en-US" w:eastAsia="ru-RU"/>
              </w:rPr>
              <w:t>They had already read it.</w:t>
            </w:r>
          </w:p>
        </w:tc>
        <w:tc>
          <w:tcPr>
            <w:tcW w:w="0" w:type="auto"/>
            <w:shd w:val="clear" w:color="auto" w:fill="FFFFFF"/>
            <w:vAlign w:val="center"/>
            <w:hideMark/>
          </w:tcPr>
          <w:p w:rsidR="003072C9" w:rsidRPr="003072C9" w:rsidRDefault="003072C9" w:rsidP="003072C9">
            <w:pPr>
              <w:spacing w:beforeAutospacing="1" w:after="0" w:afterAutospacing="1" w:line="240" w:lineRule="auto"/>
              <w:rPr>
                <w:rFonts w:ascii="Times New Roman" w:eastAsia="Times New Roman" w:hAnsi="Times New Roman" w:cs="Times New Roman"/>
                <w:sz w:val="20"/>
                <w:szCs w:val="20"/>
                <w:lang w:eastAsia="ru-RU"/>
              </w:rPr>
            </w:pPr>
          </w:p>
        </w:tc>
      </w:tr>
    </w:tbl>
    <w:p w:rsidR="00BA5CC4" w:rsidRDefault="003072C9">
      <w:bookmarkStart w:id="0" w:name="_GoBack"/>
      <w:bookmarkEnd w:id="0"/>
    </w:p>
    <w:sectPr w:rsidR="00BA5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C643D"/>
    <w:rsid w:val="003072C9"/>
    <w:rsid w:val="00F342E7"/>
    <w:rsid w:val="00F76864"/>
    <w:rsid w:val="00FC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19B7F-9F68-4EC8-9B92-CF2356A8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2019-11-25T10:57:00Z</dcterms:created>
  <dcterms:modified xsi:type="dcterms:W3CDTF">2019-11-25T10:57:00Z</dcterms:modified>
</cp:coreProperties>
</file>